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40" w:rsidRDefault="001D7D40" w:rsidP="001D7D40">
      <w:pPr>
        <w:pStyle w:val="3"/>
      </w:pPr>
      <w:r>
        <w:t>Приложение 1.</w:t>
      </w:r>
    </w:p>
    <w:p w:rsidR="001D7D40" w:rsidRPr="007704CF" w:rsidRDefault="007704CF" w:rsidP="001D7D40">
      <w:pPr>
        <w:pStyle w:val="5"/>
      </w:pPr>
      <w:r>
        <w:rPr>
          <w:lang w:val="en-US"/>
        </w:rPr>
        <w:t xml:space="preserve">DOI: </w:t>
      </w:r>
      <w:r w:rsidR="0027689E" w:rsidRPr="0027689E">
        <w:rPr>
          <w:lang w:val="en-US"/>
        </w:rPr>
        <w:t>10.17816/CS626967-4257144</w:t>
      </w:r>
      <w:bookmarkStart w:id="0" w:name="_GoBack"/>
      <w:bookmarkEnd w:id="0"/>
    </w:p>
    <w:p w:rsidR="007704CF" w:rsidRDefault="007704CF" w:rsidP="001D7D40">
      <w:pPr>
        <w:pStyle w:val="TableName"/>
      </w:pPr>
    </w:p>
    <w:p w:rsidR="001D7D40" w:rsidRDefault="001D7D40" w:rsidP="001D7D40">
      <w:pPr>
        <w:pStyle w:val="TableName"/>
      </w:pPr>
      <w:r w:rsidRPr="00754728">
        <w:t>Таблица</w:t>
      </w:r>
      <w:r>
        <w:t> </w:t>
      </w:r>
      <w:r w:rsidRPr="00754728">
        <w:t xml:space="preserve">1. </w:t>
      </w:r>
      <w:r w:rsidRPr="001C704D">
        <w:t>Вопросы электронной формы анкетирования и полученные результаты</w:t>
      </w:r>
    </w:p>
    <w:p w:rsidR="001D7D40" w:rsidRDefault="001D7D40" w:rsidP="001D7D40">
      <w:pPr>
        <w:pStyle w:val="TableName"/>
        <w:rPr>
          <w:b/>
          <w:bCs/>
          <w:lang w:val="en-US"/>
        </w:rPr>
      </w:pPr>
      <w:proofErr w:type="gramStart"/>
      <w:r w:rsidRPr="00754728">
        <w:rPr>
          <w:lang w:val="en-US"/>
        </w:rPr>
        <w:t>Table</w:t>
      </w:r>
      <w:r w:rsidRPr="001C704D">
        <w:rPr>
          <w:lang w:val="en-US"/>
        </w:rPr>
        <w:t> </w:t>
      </w:r>
      <w:r w:rsidRPr="00754728">
        <w:rPr>
          <w:lang w:val="en-US"/>
        </w:rPr>
        <w:t>1.</w:t>
      </w:r>
      <w:proofErr w:type="gramEnd"/>
      <w:r w:rsidRPr="00754728">
        <w:rPr>
          <w:lang w:val="en-US"/>
        </w:rPr>
        <w:t xml:space="preserve"> </w:t>
      </w:r>
      <w:r w:rsidRPr="001C704D">
        <w:rPr>
          <w:bCs/>
          <w:lang w:val="en-US"/>
        </w:rPr>
        <w:t>Questions of the electronic survey form and the results obtained</w:t>
      </w:r>
    </w:p>
    <w:tbl>
      <w:tblPr>
        <w:tblStyle w:val="a5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618"/>
        <w:gridCol w:w="1618"/>
        <w:gridCol w:w="1618"/>
        <w:gridCol w:w="1618"/>
        <w:gridCol w:w="1619"/>
        <w:gridCol w:w="966"/>
      </w:tblGrid>
      <w:tr w:rsidR="001D7D40" w:rsidRPr="00754728" w:rsidTr="00620B64">
        <w:trPr>
          <w:jc w:val="center"/>
        </w:trPr>
        <w:tc>
          <w:tcPr>
            <w:tcW w:w="582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>№</w:t>
            </w:r>
          </w:p>
        </w:tc>
        <w:tc>
          <w:tcPr>
            <w:tcW w:w="3236" w:type="dxa"/>
            <w:gridSpan w:val="2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>Вариант ответа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 xml:space="preserve">ИС,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</w:rPr>
              <w:t xml:space="preserve"> (%)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К</w:t>
            </w:r>
            <w:proofErr w:type="gramStart"/>
            <w:r w:rsidRPr="00754728">
              <w:rPr>
                <w:b/>
                <w:sz w:val="24"/>
              </w:rPr>
              <w:t>1</w:t>
            </w:r>
            <w:proofErr w:type="gramEnd"/>
            <w:r w:rsidRPr="00754728">
              <w:rPr>
                <w:b/>
                <w:sz w:val="24"/>
              </w:rPr>
              <w:t xml:space="preserve">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</w:rPr>
              <w:t xml:space="preserve"> (%)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К</w:t>
            </w:r>
            <w:proofErr w:type="gramStart"/>
            <w:r w:rsidRPr="00754728">
              <w:rPr>
                <w:b/>
                <w:sz w:val="24"/>
              </w:rPr>
              <w:t>2</w:t>
            </w:r>
            <w:proofErr w:type="gramEnd"/>
            <w:r w:rsidRPr="00754728">
              <w:rPr>
                <w:b/>
                <w:sz w:val="24"/>
              </w:rPr>
              <w:t xml:space="preserve">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</w:rPr>
              <w:t xml:space="preserve"> (%)</w:t>
            </w:r>
          </w:p>
        </w:tc>
        <w:tc>
          <w:tcPr>
            <w:tcW w:w="966" w:type="dxa"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jc w:val="center"/>
              <w:rPr>
                <w:b/>
                <w:i/>
                <w:iCs/>
                <w:sz w:val="24"/>
              </w:rPr>
            </w:pPr>
            <w:r w:rsidRPr="005204BB">
              <w:rPr>
                <w:b/>
                <w:i/>
                <w:iCs/>
                <w:sz w:val="24"/>
                <w:lang w:val="en-US"/>
              </w:rPr>
              <w:t>p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1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Ваша специальность:</w:t>
            </w:r>
          </w:p>
        </w:tc>
      </w:tr>
      <w:tr w:rsidR="001D7D40" w:rsidRPr="002863F1" w:rsidTr="00620B64">
        <w:trPr>
          <w:jc w:val="center"/>
        </w:trPr>
        <w:tc>
          <w:tcPr>
            <w:tcW w:w="582" w:type="dxa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3236" w:type="dxa"/>
            <w:gridSpan w:val="2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Врач общей практики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54 (51,4)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39 (62,9)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15 (34</w:t>
            </w:r>
            <w:r w:rsidRPr="005204BB">
              <w:rPr>
                <w:color w:val="0070C0"/>
                <w:sz w:val="24"/>
                <w:lang w:val="en-US"/>
              </w:rPr>
              <w:t>,</w:t>
            </w:r>
            <w:r w:rsidRPr="005204BB">
              <w:rPr>
                <w:color w:val="0070C0"/>
                <w:sz w:val="24"/>
              </w:rPr>
              <w:t>9</w:t>
            </w:r>
            <w:r w:rsidRPr="005204BB">
              <w:rPr>
                <w:color w:val="0070C0"/>
                <w:sz w:val="24"/>
                <w:lang w:val="en-US"/>
              </w:rPr>
              <w:t>)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&lt;0,001</w:t>
            </w:r>
          </w:p>
        </w:tc>
      </w:tr>
      <w:tr w:rsidR="001D7D40" w:rsidRPr="002863F1" w:rsidTr="00620B64">
        <w:trPr>
          <w:jc w:val="center"/>
        </w:trPr>
        <w:tc>
          <w:tcPr>
            <w:tcW w:w="582" w:type="dxa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3236" w:type="dxa"/>
            <w:gridSpan w:val="2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Врач-терапевт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28 (26,7)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2</w:t>
            </w:r>
            <w:r w:rsidRPr="005204BB">
              <w:rPr>
                <w:color w:val="0070C0"/>
                <w:sz w:val="24"/>
                <w:lang w:val="en-US"/>
              </w:rPr>
              <w:t>0 (32,3)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8 (18,6)</w:t>
            </w:r>
          </w:p>
        </w:tc>
        <w:tc>
          <w:tcPr>
            <w:tcW w:w="966" w:type="dxa"/>
            <w:vMerge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</w:tr>
      <w:tr w:rsidR="001D7D40" w:rsidRPr="002863F1" w:rsidTr="00620B64">
        <w:trPr>
          <w:jc w:val="center"/>
        </w:trPr>
        <w:tc>
          <w:tcPr>
            <w:tcW w:w="582" w:type="dxa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3236" w:type="dxa"/>
            <w:gridSpan w:val="2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Врач-кардиолог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22 (21,0)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2</w:t>
            </w:r>
            <w:r w:rsidRPr="005204BB">
              <w:rPr>
                <w:color w:val="0070C0"/>
                <w:sz w:val="24"/>
                <w:lang w:val="en-US"/>
              </w:rPr>
              <w:t xml:space="preserve"> (3,2)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20 (46,5)</w:t>
            </w:r>
          </w:p>
        </w:tc>
        <w:tc>
          <w:tcPr>
            <w:tcW w:w="966" w:type="dxa"/>
            <w:vMerge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</w:tr>
      <w:tr w:rsidR="001D7D40" w:rsidRPr="002863F1" w:rsidTr="00620B64">
        <w:trPr>
          <w:jc w:val="center"/>
        </w:trPr>
        <w:tc>
          <w:tcPr>
            <w:tcW w:w="582" w:type="dxa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Г</w:t>
            </w:r>
          </w:p>
        </w:tc>
        <w:tc>
          <w:tcPr>
            <w:tcW w:w="3236" w:type="dxa"/>
            <w:gridSpan w:val="2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 xml:space="preserve">Другая: </w:t>
            </w:r>
            <w:r w:rsidRPr="005204BB">
              <w:rPr>
                <w:i/>
                <w:color w:val="0070C0"/>
                <w:sz w:val="24"/>
              </w:rPr>
              <w:t>офтальмолог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 (1,0)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1</w:t>
            </w:r>
            <w:r w:rsidRPr="005204BB">
              <w:rPr>
                <w:color w:val="0070C0"/>
                <w:sz w:val="24"/>
                <w:lang w:val="en-US"/>
              </w:rPr>
              <w:t xml:space="preserve"> (1,6)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0 (0,0)</w:t>
            </w:r>
          </w:p>
        </w:tc>
        <w:tc>
          <w:tcPr>
            <w:tcW w:w="966" w:type="dxa"/>
            <w:vMerge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№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Default="001D7D40" w:rsidP="00620B64">
            <w:pPr>
              <w:jc w:val="left"/>
              <w:rPr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>Вариант ответа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 xml:space="preserve">ИС,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  <w:lang w:val="en-US"/>
              </w:rPr>
              <w:t xml:space="preserve"> (%)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>ГС</w:t>
            </w:r>
            <w:r w:rsidRPr="00754728">
              <w:rPr>
                <w:b/>
                <w:sz w:val="24"/>
                <w:lang w:val="en-US"/>
              </w:rPr>
              <w:t>, %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b/>
                <w:bCs/>
                <w:iCs/>
                <w:color w:val="008000"/>
                <w:sz w:val="24"/>
              </w:rPr>
            </w:pPr>
            <w:r w:rsidRPr="00754728">
              <w:rPr>
                <w:b/>
                <w:sz w:val="24"/>
              </w:rPr>
              <w:t>95% ДИ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К</w:t>
            </w:r>
            <w:proofErr w:type="gramStart"/>
            <w:r w:rsidRPr="00754728">
              <w:rPr>
                <w:b/>
                <w:sz w:val="24"/>
              </w:rPr>
              <w:t>1</w:t>
            </w:r>
            <w:proofErr w:type="gramEnd"/>
            <w:r w:rsidRPr="00754728">
              <w:rPr>
                <w:b/>
                <w:sz w:val="24"/>
                <w:lang w:val="en-US"/>
              </w:rPr>
              <w:t xml:space="preserve">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  <w:lang w:val="en-US"/>
              </w:rPr>
              <w:t xml:space="preserve"> (%)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К</w:t>
            </w:r>
            <w:proofErr w:type="gramStart"/>
            <w:r w:rsidRPr="00754728">
              <w:rPr>
                <w:b/>
                <w:sz w:val="24"/>
              </w:rPr>
              <w:t>2</w:t>
            </w:r>
            <w:proofErr w:type="gramEnd"/>
            <w:r w:rsidRPr="00754728">
              <w:rPr>
                <w:b/>
                <w:sz w:val="24"/>
                <w:lang w:val="en-US"/>
              </w:rPr>
              <w:t xml:space="preserve">, </w:t>
            </w:r>
            <w:r w:rsidRPr="005204BB">
              <w:rPr>
                <w:b/>
                <w:i/>
                <w:iCs/>
                <w:sz w:val="24"/>
                <w:lang w:val="en-US"/>
              </w:rPr>
              <w:t>n</w:t>
            </w:r>
            <w:r w:rsidRPr="00754728">
              <w:rPr>
                <w:b/>
                <w:sz w:val="24"/>
                <w:lang w:val="en-US"/>
              </w:rPr>
              <w:t xml:space="preserve"> (%)</w:t>
            </w:r>
          </w:p>
        </w:tc>
        <w:tc>
          <w:tcPr>
            <w:tcW w:w="966" w:type="dxa"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jc w:val="center"/>
              <w:rPr>
                <w:b/>
                <w:i/>
                <w:iCs/>
                <w:sz w:val="24"/>
                <w:lang w:val="en-US"/>
              </w:rPr>
            </w:pPr>
            <w:r w:rsidRPr="005204BB">
              <w:rPr>
                <w:b/>
                <w:i/>
                <w:iCs/>
                <w:sz w:val="24"/>
                <w:lang w:val="en-US"/>
              </w:rPr>
              <w:t>p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b/>
                <w:sz w:val="24"/>
                <w:shd w:val="clear" w:color="auto" w:fill="FFFFFF"/>
              </w:rPr>
            </w:pPr>
            <w:r w:rsidRPr="00754728">
              <w:rPr>
                <w:b/>
                <w:sz w:val="24"/>
                <w:shd w:val="clear" w:color="auto" w:fill="FFFFFF"/>
              </w:rPr>
              <w:t>2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rPr>
                <w:b/>
                <w:sz w:val="24"/>
                <w:shd w:val="clear" w:color="auto" w:fill="FFFFFF"/>
              </w:rPr>
            </w:pPr>
            <w:r w:rsidRPr="00754728">
              <w:rPr>
                <w:b/>
                <w:sz w:val="24"/>
                <w:shd w:val="clear" w:color="auto" w:fill="FFFFFF"/>
              </w:rPr>
              <w:t>Приверженность лечению</w:t>
            </w:r>
            <w:r>
              <w:rPr>
                <w:b/>
                <w:sz w:val="24"/>
                <w:shd w:val="clear" w:color="auto" w:fill="FFFFFF"/>
              </w:rPr>
              <w:t> —</w:t>
            </w:r>
            <w:r w:rsidRPr="00754728">
              <w:rPr>
                <w:b/>
                <w:sz w:val="24"/>
                <w:shd w:val="clear" w:color="auto" w:fill="FFFFFF"/>
              </w:rPr>
              <w:t xml:space="preserve"> это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степень выполнения рекомендаций врача по приёму препаратов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color w:val="0070C0"/>
                <w:sz w:val="24"/>
              </w:rPr>
              <w:t>0,531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11 (10,5)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10,5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0,060–0,178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8 (12,9)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(7,0)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соблюдение рекомендаций врача при правильном дозировании лекарств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 (2,9)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2,9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0,010–0,081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(3,2)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 (2,3)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pl-PL"/>
              </w:rPr>
              <w:t>уровень соответствия поведения пациента рекомендациям врача касательно постоянства и режима при</w:t>
            </w:r>
            <w:r w:rsidRPr="005204BB">
              <w:rPr>
                <w:color w:val="0070C0"/>
                <w:sz w:val="24"/>
              </w:rPr>
              <w:t>ё</w:t>
            </w:r>
            <w:r w:rsidRPr="005204BB">
              <w:rPr>
                <w:color w:val="0070C0"/>
                <w:sz w:val="24"/>
                <w:lang w:val="pl-PL"/>
              </w:rPr>
              <w:t xml:space="preserve">ма препаратов, их дозировок </w:t>
            </w:r>
            <w:r w:rsidRPr="005204BB">
              <w:rPr>
                <w:color w:val="0070C0"/>
                <w:sz w:val="24"/>
              </w:rPr>
              <w:t xml:space="preserve">в рамках </w:t>
            </w:r>
            <w:r w:rsidRPr="005204BB">
              <w:rPr>
                <w:bCs/>
                <w:color w:val="0070C0"/>
                <w:sz w:val="24"/>
              </w:rPr>
              <w:t xml:space="preserve">сотрудничества </w:t>
            </w:r>
            <w:r w:rsidRPr="005204BB">
              <w:rPr>
                <w:color w:val="0070C0"/>
                <w:sz w:val="24"/>
              </w:rPr>
              <w:t>врача и пациента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widowControl w:val="0"/>
              <w:overflowPunct w:val="0"/>
              <w:autoSpaceDE w:val="0"/>
              <w:autoSpaceDN w:val="0"/>
              <w:adjustRightInd w:val="0"/>
              <w:spacing w:before="720" w:after="80"/>
              <w:ind w:hanging="113"/>
              <w:jc w:val="center"/>
              <w:textAlignment w:val="baseline"/>
              <w:outlineLvl w:val="0"/>
              <w:rPr>
                <w:color w:val="0070C0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86 (81,9)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81,9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pl-PL"/>
              </w:rPr>
            </w:pPr>
            <w:r w:rsidRPr="005204BB">
              <w:rPr>
                <w:color w:val="0070C0"/>
                <w:sz w:val="24"/>
              </w:rPr>
              <w:t>0,729–0,885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48 (77,4)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</w:t>
            </w:r>
            <w:r w:rsidRPr="005204BB">
              <w:rPr>
                <w:color w:val="0070C0"/>
                <w:sz w:val="24"/>
              </w:rPr>
              <w:t>8</w:t>
            </w:r>
            <w:r w:rsidRPr="005204BB">
              <w:rPr>
                <w:color w:val="0070C0"/>
                <w:sz w:val="24"/>
                <w:lang w:val="en-US"/>
              </w:rPr>
              <w:t xml:space="preserve"> (88,4)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Cs/>
                <w:color w:val="0070C0"/>
                <w:sz w:val="24"/>
                <w:shd w:val="clear" w:color="auto" w:fill="FFFFFF"/>
              </w:rPr>
            </w:pPr>
            <w:r w:rsidRPr="005204BB">
              <w:rPr>
                <w:bCs/>
                <w:color w:val="0070C0"/>
                <w:sz w:val="24"/>
                <w:shd w:val="clear" w:color="auto" w:fill="FFFFFF"/>
              </w:rPr>
              <w:t>Г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bCs/>
                <w:color w:val="0070C0"/>
                <w:sz w:val="24"/>
                <w:shd w:val="clear" w:color="auto" w:fill="FFFFFF"/>
              </w:rPr>
              <w:t>добровольное следование пациента предписанному ему режиму лечения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spacing w:before="240" w:after="360"/>
              <w:ind w:hanging="170"/>
              <w:rPr>
                <w:bCs/>
                <w:color w:val="0070C0"/>
                <w:sz w:val="24"/>
                <w:shd w:val="clear" w:color="auto" w:fill="FFFFFF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 (4,8)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4,8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bCs/>
                <w:color w:val="0070C0"/>
                <w:sz w:val="24"/>
                <w:shd w:val="clear" w:color="auto" w:fill="FFFFFF"/>
              </w:rPr>
            </w:pPr>
            <w:r w:rsidRPr="005204BB">
              <w:rPr>
                <w:color w:val="0070C0"/>
                <w:sz w:val="24"/>
              </w:rPr>
              <w:t>0,021–0,107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 (6,5)</w:t>
            </w:r>
          </w:p>
        </w:tc>
        <w:tc>
          <w:tcPr>
            <w:tcW w:w="1619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 (2,3)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3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При установлении у</w:t>
            </w:r>
            <w:r>
              <w:rPr>
                <w:b/>
                <w:sz w:val="24"/>
              </w:rPr>
              <w:t> </w:t>
            </w:r>
            <w:r w:rsidRPr="00754728">
              <w:rPr>
                <w:b/>
                <w:sz w:val="24"/>
              </w:rPr>
              <w:t xml:space="preserve">пациента диагноза </w:t>
            </w:r>
            <w:proofErr w:type="gramStart"/>
            <w:r w:rsidRPr="00754728">
              <w:rPr>
                <w:b/>
                <w:sz w:val="24"/>
              </w:rPr>
              <w:t>сердечно-сосудистого</w:t>
            </w:r>
            <w:proofErr w:type="gramEnd"/>
            <w:r w:rsidRPr="00754728">
              <w:rPr>
                <w:b/>
                <w:sz w:val="24"/>
              </w:rPr>
              <w:t xml:space="preserve"> заболевания врач следует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рекомендациям профильного специалиста амбулаторного звена (кардиолог)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0,0</w:t>
            </w:r>
            <w:r w:rsidRPr="005204BB">
              <w:rPr>
                <w:b/>
                <w:color w:val="0070C0"/>
                <w:sz w:val="24"/>
                <w:lang w:val="en-US"/>
              </w:rPr>
              <w:t>20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19 (18,1)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18,1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0,119–0,266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</w:t>
            </w:r>
            <w:r w:rsidRPr="005204BB">
              <w:rPr>
                <w:color w:val="0070C0"/>
                <w:sz w:val="24"/>
                <w:lang w:val="en-US"/>
              </w:rPr>
              <w:t>7 (27,4)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(4,7)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рекомендациям выписного эпикриза из стационара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 (5,7)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5,7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0,026–0,119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(4,8)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(7,0)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клиническим рекомендациям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  <w:lang w:val="en-US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79 (75,2)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75,2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0,662–0,825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41 (66,1)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38 (88,4)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  <w:lang w:val="en-US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Г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рекомендациям по назначению симптоматической терапии на своё усмотрение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 (1,0)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1,0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0,002–0,052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</w:t>
            </w:r>
            <w:r w:rsidRPr="005204BB">
              <w:rPr>
                <w:color w:val="0070C0"/>
                <w:sz w:val="24"/>
                <w:lang w:val="en-US"/>
              </w:rPr>
              <w:t xml:space="preserve"> (1,6)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0 (0,0)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Д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другое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spacing w:before="240" w:after="360"/>
              <w:ind w:hanging="170"/>
              <w:rPr>
                <w:color w:val="0070C0"/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 (0,0)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0,000–0,035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4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Какие группы лекарственных препаратов показаны при хронической сердечной недостаточности со</w:t>
            </w:r>
            <w:r>
              <w:rPr>
                <w:b/>
                <w:sz w:val="24"/>
              </w:rPr>
              <w:t> </w:t>
            </w:r>
            <w:r w:rsidRPr="00754728">
              <w:rPr>
                <w:b/>
                <w:sz w:val="24"/>
              </w:rPr>
              <w:t>сниженной фракцией выброса для улучшения прогноза?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 xml:space="preserve">ингибиторы </w:t>
            </w:r>
            <w:proofErr w:type="spellStart"/>
            <w:r w:rsidRPr="005204BB">
              <w:rPr>
                <w:color w:val="0070C0"/>
                <w:sz w:val="24"/>
              </w:rPr>
              <w:t>ангиотензин</w:t>
            </w:r>
            <w:proofErr w:type="spellEnd"/>
            <w:r w:rsidRPr="005204BB">
              <w:rPr>
                <w:color w:val="0070C0"/>
                <w:sz w:val="24"/>
              </w:rPr>
              <w:t xml:space="preserve">-превращающего фермента/антагонисты рецепторов </w:t>
            </w:r>
            <w:proofErr w:type="spellStart"/>
            <w:r w:rsidRPr="005204BB">
              <w:rPr>
                <w:color w:val="0070C0"/>
                <w:sz w:val="24"/>
              </w:rPr>
              <w:t>ангиотензина</w:t>
            </w:r>
            <w:proofErr w:type="spellEnd"/>
            <w:r w:rsidRPr="005204BB">
              <w:rPr>
                <w:color w:val="0070C0"/>
                <w:sz w:val="24"/>
              </w:rPr>
              <w:t> </w:t>
            </w:r>
            <w:r w:rsidRPr="005204BB">
              <w:rPr>
                <w:color w:val="0070C0"/>
                <w:sz w:val="24"/>
                <w:lang w:val="en-US"/>
              </w:rPr>
              <w:t>II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/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&lt;0,001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57 (54,3)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54,3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0,448–0,635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23 (37,1)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34 (79,1)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b/>
                <w:color w:val="0070C0"/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spacing w:before="60" w:after="40"/>
              <w:ind w:hanging="170"/>
              <w:contextualSpacing/>
              <w:outlineLvl w:val="7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 xml:space="preserve">ингибиторы </w:t>
            </w:r>
            <w:proofErr w:type="spellStart"/>
            <w:r w:rsidRPr="005204BB">
              <w:rPr>
                <w:color w:val="0070C0"/>
                <w:sz w:val="24"/>
              </w:rPr>
              <w:t>ангиотензиновых</w:t>
            </w:r>
            <w:proofErr w:type="spellEnd"/>
            <w:r w:rsidRPr="005204BB">
              <w:rPr>
                <w:color w:val="0070C0"/>
                <w:sz w:val="24"/>
              </w:rPr>
              <w:t xml:space="preserve"> рецепторов и </w:t>
            </w:r>
            <w:proofErr w:type="spellStart"/>
            <w:r w:rsidRPr="005204BB">
              <w:rPr>
                <w:color w:val="0070C0"/>
                <w:sz w:val="24"/>
              </w:rPr>
              <w:t>неприлизина</w:t>
            </w:r>
            <w:proofErr w:type="spellEnd"/>
            <w:r w:rsidRPr="005204BB">
              <w:rPr>
                <w:color w:val="0070C0"/>
                <w:sz w:val="24"/>
              </w:rPr>
              <w:t xml:space="preserve"> (</w:t>
            </w:r>
            <w:proofErr w:type="spellStart"/>
            <w:r w:rsidRPr="005204BB">
              <w:rPr>
                <w:color w:val="0070C0"/>
                <w:sz w:val="24"/>
              </w:rPr>
              <w:t>сакубитрил</w:t>
            </w:r>
            <w:proofErr w:type="spellEnd"/>
            <w:r w:rsidRPr="005204BB">
              <w:rPr>
                <w:color w:val="0070C0"/>
                <w:sz w:val="24"/>
              </w:rPr>
              <w:t xml:space="preserve"> </w:t>
            </w:r>
            <w:proofErr w:type="spellStart"/>
            <w:r w:rsidRPr="005204BB">
              <w:rPr>
                <w:color w:val="0070C0"/>
                <w:sz w:val="24"/>
              </w:rPr>
              <w:t>валсартан</w:t>
            </w:r>
            <w:proofErr w:type="spellEnd"/>
            <w:r w:rsidRPr="005204BB">
              <w:rPr>
                <w:color w:val="0070C0"/>
                <w:sz w:val="24"/>
              </w:rPr>
              <w:t>)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0,2</w:t>
            </w:r>
            <w:r w:rsidRPr="005204BB">
              <w:rPr>
                <w:color w:val="0070C0"/>
                <w:sz w:val="24"/>
                <w:lang w:val="en-US"/>
              </w:rPr>
              <w:t>68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77 (73,3)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73,3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0,642–0,809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43 (69,4)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34 (79,1)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  <w:lang w:val="en-US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 xml:space="preserve">ингибиторы </w:t>
            </w:r>
            <w:proofErr w:type="gramStart"/>
            <w:r w:rsidRPr="005204BB">
              <w:rPr>
                <w:color w:val="0070C0"/>
                <w:sz w:val="24"/>
              </w:rPr>
              <w:t>натрий-глюкозного</w:t>
            </w:r>
            <w:proofErr w:type="gramEnd"/>
            <w:r w:rsidRPr="005204BB">
              <w:rPr>
                <w:color w:val="0070C0"/>
                <w:sz w:val="24"/>
              </w:rPr>
              <w:t xml:space="preserve"> </w:t>
            </w:r>
            <w:proofErr w:type="spellStart"/>
            <w:r w:rsidRPr="005204BB">
              <w:rPr>
                <w:color w:val="0070C0"/>
                <w:sz w:val="24"/>
              </w:rPr>
              <w:t>котранспортёра</w:t>
            </w:r>
            <w:proofErr w:type="spellEnd"/>
            <w:r w:rsidRPr="005204BB">
              <w:rPr>
                <w:color w:val="0070C0"/>
                <w:sz w:val="24"/>
              </w:rPr>
              <w:t xml:space="preserve"> 2-го типа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/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&lt;0,001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59 (56,2)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56,2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0,467–0,653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20 (32,3)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en-US"/>
              </w:rPr>
              <w:t>39 (90,7)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b/>
                <w:color w:val="0070C0"/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Г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антагонисты альдостерона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/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&lt;0,001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45 (42,9)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42,9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0,338–0,524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11 (17,7)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en-US"/>
              </w:rPr>
              <w:t>3</w:t>
            </w:r>
            <w:r w:rsidRPr="005204BB">
              <w:rPr>
                <w:color w:val="0070C0"/>
                <w:sz w:val="24"/>
              </w:rPr>
              <w:t>4</w:t>
            </w:r>
            <w:r w:rsidRPr="005204BB">
              <w:rPr>
                <w:color w:val="0070C0"/>
                <w:sz w:val="24"/>
                <w:lang w:val="en-US"/>
              </w:rPr>
              <w:t xml:space="preserve"> (79,1)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b/>
                <w:color w:val="0070C0"/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Д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антагонисты кальция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/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0,01</w:t>
            </w:r>
            <w:r w:rsidRPr="005204BB">
              <w:rPr>
                <w:b/>
                <w:color w:val="0070C0"/>
                <w:sz w:val="24"/>
                <w:lang w:val="en-US"/>
              </w:rPr>
              <w:t>4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12 (11,4)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11,4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0,067–0,189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(4,8)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9</w:t>
            </w:r>
            <w:r w:rsidRPr="005204BB">
              <w:rPr>
                <w:color w:val="0070C0"/>
                <w:sz w:val="24"/>
              </w:rPr>
              <w:t xml:space="preserve"> </w:t>
            </w:r>
            <w:r w:rsidRPr="005204BB">
              <w:rPr>
                <w:color w:val="0070C0"/>
                <w:sz w:val="24"/>
                <w:lang w:val="en-US"/>
              </w:rPr>
              <w:t>(20,9)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b/>
                <w:color w:val="0070C0"/>
                <w:sz w:val="24"/>
                <w:lang w:val="en-US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Е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бета-адреноблокаторы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b/>
                <w:color w:val="0070C0"/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&lt;0,001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68 (64,8)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64,8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0,553–0,732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27 (43,5)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41 (95,3)</w:t>
            </w:r>
          </w:p>
        </w:tc>
        <w:tc>
          <w:tcPr>
            <w:tcW w:w="966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b/>
                <w:color w:val="0070C0"/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Ж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 xml:space="preserve">агонисты </w:t>
            </w:r>
            <w:proofErr w:type="spellStart"/>
            <w:r w:rsidRPr="005204BB">
              <w:rPr>
                <w:color w:val="0070C0"/>
                <w:sz w:val="24"/>
              </w:rPr>
              <w:t>имидазолиновых</w:t>
            </w:r>
            <w:proofErr w:type="spellEnd"/>
            <w:r w:rsidRPr="005204BB">
              <w:rPr>
                <w:color w:val="0070C0"/>
                <w:sz w:val="24"/>
              </w:rPr>
              <w:t xml:space="preserve"> рецепторов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</w:t>
            </w:r>
            <w:r w:rsidRPr="005204BB">
              <w:rPr>
                <w:color w:val="0070C0"/>
                <w:sz w:val="24"/>
                <w:lang w:val="en-US"/>
              </w:rPr>
              <w:t>165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rPr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 (1,9)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1,9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0,005–0,067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0 (0,0)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(4,7)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  <w:lang w:val="en-US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5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Наиболее значимые причины низкой приверженности лечению амбулаторных пациентов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отсутствие времени на приёме для разъяснения и улучшения мотивации пациента к лечению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color w:val="0070C0"/>
                <w:sz w:val="24"/>
              </w:rPr>
              <w:t>0,</w:t>
            </w:r>
            <w:r w:rsidRPr="005204BB">
              <w:rPr>
                <w:color w:val="0070C0"/>
                <w:sz w:val="24"/>
                <w:lang w:val="en-US"/>
              </w:rPr>
              <w:t>226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49 (46,7)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46,7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0,374–0,562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</w:t>
            </w:r>
            <w:r w:rsidRPr="005204BB">
              <w:rPr>
                <w:color w:val="0070C0"/>
                <w:sz w:val="24"/>
              </w:rPr>
              <w:t>9</w:t>
            </w:r>
            <w:r w:rsidRPr="005204BB">
              <w:rPr>
                <w:color w:val="0070C0"/>
                <w:sz w:val="24"/>
                <w:lang w:val="en-US"/>
              </w:rPr>
              <w:t xml:space="preserve"> (46,8)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20 (46,5)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отсутствие льготного лекарственного обеспечения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 (2,9)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2,9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0,010–0,081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 (1,6)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2</w:t>
            </w:r>
            <w:r w:rsidRPr="005204BB">
              <w:rPr>
                <w:color w:val="0070C0"/>
                <w:sz w:val="24"/>
                <w:lang w:val="en-US"/>
              </w:rPr>
              <w:t xml:space="preserve"> (4,7)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низкий уровень медицинской грамотности пациента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31 (29,5)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29,5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0,216–0,388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16 (25,8)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15 (34,9)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Г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низкий социальный статус пациента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 (3,8)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3,8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0,015–0,094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(3,2)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(4,7)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Д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миграция пациентов между врачами (отсутствие участкового принципа)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17 (16,2)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16,2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0,104–0,244</w:t>
            </w:r>
          </w:p>
        </w:tc>
        <w:tc>
          <w:tcPr>
            <w:tcW w:w="1618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1</w:t>
            </w:r>
            <w:r w:rsidRPr="005204BB">
              <w:rPr>
                <w:color w:val="0070C0"/>
                <w:sz w:val="24"/>
                <w:lang w:val="en-US"/>
              </w:rPr>
              <w:t>4 (22,6)</w:t>
            </w:r>
          </w:p>
        </w:tc>
        <w:tc>
          <w:tcPr>
            <w:tcW w:w="1619" w:type="dxa"/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(7,0)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Е</w:t>
            </w:r>
          </w:p>
        </w:tc>
        <w:tc>
          <w:tcPr>
            <w:tcW w:w="8091" w:type="dxa"/>
            <w:gridSpan w:val="5"/>
            <w:vAlign w:val="center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 xml:space="preserve">другое: </w:t>
            </w:r>
            <w:r w:rsidRPr="005204BB">
              <w:rPr>
                <w:i/>
                <w:color w:val="0070C0"/>
                <w:sz w:val="24"/>
              </w:rPr>
              <w:t>всё перечисленное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spacing w:before="240" w:after="360"/>
              <w:ind w:hanging="170"/>
              <w:rPr>
                <w:color w:val="0070C0"/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 (1,0)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1,0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0,002–0,052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0 (0,0)</w:t>
            </w:r>
          </w:p>
        </w:tc>
        <w:tc>
          <w:tcPr>
            <w:tcW w:w="1619" w:type="dxa"/>
            <w:tcBorders>
              <w:bottom w:val="double" w:sz="4" w:space="0" w:color="auto"/>
            </w:tcBorders>
            <w:vAlign w:val="center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1</w:t>
            </w:r>
            <w:r w:rsidRPr="005204BB">
              <w:rPr>
                <w:color w:val="0070C0"/>
                <w:sz w:val="24"/>
                <w:lang w:val="en-US"/>
              </w:rPr>
              <w:t xml:space="preserve"> (2,3)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6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Влияет</w:t>
            </w:r>
            <w:r>
              <w:rPr>
                <w:b/>
                <w:sz w:val="24"/>
              </w:rPr>
              <w:t> </w:t>
            </w:r>
            <w:r w:rsidRPr="00754728">
              <w:rPr>
                <w:b/>
                <w:sz w:val="24"/>
              </w:rPr>
              <w:t>ли поведение врача на приверженность пациента лечению?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да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0,0</w:t>
            </w:r>
            <w:r w:rsidRPr="005204BB">
              <w:rPr>
                <w:b/>
                <w:color w:val="0070C0"/>
                <w:sz w:val="24"/>
                <w:lang w:val="en-US"/>
              </w:rPr>
              <w:t>45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95 (90,5)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90,5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0,834–0,948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53 (85,5)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42 (97,7)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нет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10 (9,5)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9,5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0,053–0,166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9 (14,5)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 (2,3)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7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Могут</w:t>
            </w:r>
            <w:r>
              <w:rPr>
                <w:b/>
                <w:sz w:val="24"/>
              </w:rPr>
              <w:t> </w:t>
            </w:r>
            <w:r w:rsidRPr="00754728">
              <w:rPr>
                <w:b/>
                <w:sz w:val="24"/>
              </w:rPr>
              <w:t>ли образовательные школы повысить приверженность пациента лечению?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да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b/>
                <w:color w:val="0070C0"/>
                <w:sz w:val="24"/>
              </w:rPr>
              <w:t>0,00</w:t>
            </w:r>
            <w:r w:rsidRPr="005204BB">
              <w:rPr>
                <w:b/>
                <w:color w:val="0070C0"/>
                <w:sz w:val="24"/>
                <w:lang w:val="en-US"/>
              </w:rPr>
              <w:t>5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95 (90,5)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90,5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0,834–0,948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52 (83,9)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43 (100)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нет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7D40" w:rsidRPr="008E28A6" w:rsidRDefault="001D7D40" w:rsidP="00620B64">
            <w:pPr>
              <w:spacing w:before="240" w:after="360"/>
              <w:ind w:hanging="170"/>
              <w:rPr>
                <w:color w:val="0070C0"/>
                <w:sz w:val="24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10 (9,5)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9,5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0,053–0,166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10 (16,1)</w:t>
            </w: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en-US"/>
              </w:rPr>
              <w:t>0 (0,0)</w:t>
            </w:r>
          </w:p>
        </w:tc>
        <w:tc>
          <w:tcPr>
            <w:tcW w:w="966" w:type="dxa"/>
            <w:vMerge/>
            <w:tcBorders>
              <w:bottom w:val="double" w:sz="4" w:space="0" w:color="auto"/>
            </w:tcBorders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8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</w:rPr>
            </w:pPr>
            <w:r w:rsidRPr="00754728">
              <w:rPr>
                <w:b/>
                <w:sz w:val="24"/>
              </w:rPr>
              <w:t>Наиболее значимые темы образовательных школ: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АГ, ХСН, ИБС, нарушение ритма, ХБП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color w:val="0070C0"/>
                <w:sz w:val="24"/>
              </w:rPr>
              <w:t>0,</w:t>
            </w:r>
            <w:r w:rsidRPr="005204BB">
              <w:rPr>
                <w:color w:val="0070C0"/>
                <w:sz w:val="24"/>
                <w:lang w:val="en-US"/>
              </w:rPr>
              <w:t>876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87 (82,9)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82,9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0,745–0,889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50 (80,6)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37 (86,0)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ХОБЛ, БА, заболевания ЖКТ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 (3,8)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3,8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0,015–0,094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(4,8)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 (2,3)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В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заболевания опорно-двигательного аппарата, заболевания щитовидной железы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 (3,8)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3,8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0,015–0,094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(3,2)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 (4,7)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Г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скрининг злокачественных новообразований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 (5,7)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5,7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0,026–0,119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4 (6,5)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en-US"/>
              </w:rPr>
              <w:t>2 (4,7)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Д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 xml:space="preserve">другое: </w:t>
            </w:r>
            <w:r w:rsidRPr="005204BB">
              <w:rPr>
                <w:i/>
                <w:color w:val="0070C0"/>
                <w:sz w:val="24"/>
              </w:rPr>
              <w:t>всё вышеперечисленное, но в разных объёмах; профилактика заболеваний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</w:tcPr>
          <w:p w:rsidR="001D7D40" w:rsidRPr="008E28A6" w:rsidRDefault="001D7D40" w:rsidP="00620B64">
            <w:pPr>
              <w:spacing w:before="240" w:after="360"/>
              <w:ind w:hanging="170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4 (3,8)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3,8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0,015–0,094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 (4,8)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  <w:lang w:val="en-US"/>
              </w:rPr>
              <w:t>1 (2,3)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1D7D40" w:rsidRPr="00754728" w:rsidRDefault="001D7D40" w:rsidP="00620B64">
            <w:pPr>
              <w:jc w:val="center"/>
              <w:rPr>
                <w:b/>
                <w:sz w:val="24"/>
                <w:shd w:val="clear" w:color="auto" w:fill="FFFFFF"/>
              </w:rPr>
            </w:pPr>
            <w:r w:rsidRPr="00754728">
              <w:rPr>
                <w:b/>
                <w:sz w:val="24"/>
                <w:shd w:val="clear" w:color="auto" w:fill="FFFFFF"/>
              </w:rPr>
              <w:t>9</w:t>
            </w:r>
          </w:p>
        </w:tc>
        <w:tc>
          <w:tcPr>
            <w:tcW w:w="9057" w:type="dxa"/>
            <w:gridSpan w:val="6"/>
            <w:tcBorders>
              <w:top w:val="double" w:sz="4" w:space="0" w:color="auto"/>
            </w:tcBorders>
          </w:tcPr>
          <w:p w:rsidR="001D7D40" w:rsidRPr="00754728" w:rsidRDefault="001D7D40" w:rsidP="00620B64">
            <w:pPr>
              <w:rPr>
                <w:b/>
                <w:sz w:val="24"/>
                <w:shd w:val="clear" w:color="auto" w:fill="FFFFFF"/>
              </w:rPr>
            </w:pPr>
            <w:r w:rsidRPr="00754728">
              <w:rPr>
                <w:b/>
                <w:sz w:val="24"/>
                <w:shd w:val="clear" w:color="auto" w:fill="FFFFFF"/>
              </w:rPr>
              <w:t>Повысит</w:t>
            </w:r>
            <w:r>
              <w:rPr>
                <w:b/>
                <w:sz w:val="24"/>
                <w:shd w:val="clear" w:color="auto" w:fill="FFFFFF"/>
              </w:rPr>
              <w:t> </w:t>
            </w:r>
            <w:r w:rsidRPr="00754728">
              <w:rPr>
                <w:b/>
                <w:sz w:val="24"/>
                <w:shd w:val="clear" w:color="auto" w:fill="FFFFFF"/>
              </w:rPr>
              <w:t>ли приверженность лечению использование технологий/приложений мобильных телефонов?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А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да</w:t>
            </w:r>
          </w:p>
        </w:tc>
        <w:tc>
          <w:tcPr>
            <w:tcW w:w="966" w:type="dxa"/>
            <w:vMerge w:val="restart"/>
            <w:vAlign w:val="center"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  <w:r w:rsidRPr="005204BB">
              <w:rPr>
                <w:color w:val="0070C0"/>
                <w:sz w:val="24"/>
              </w:rPr>
              <w:t>0,37</w:t>
            </w:r>
            <w:r w:rsidRPr="005204BB">
              <w:rPr>
                <w:color w:val="0070C0"/>
                <w:sz w:val="24"/>
                <w:lang w:val="en-US"/>
              </w:rPr>
              <w:t>1</w:t>
            </w: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  <w:vAlign w:val="center"/>
          </w:tcPr>
          <w:p w:rsidR="001D7D40" w:rsidRPr="008E28A6" w:rsidRDefault="001D7D40" w:rsidP="00620B64">
            <w:pPr>
              <w:spacing w:before="240" w:after="360"/>
              <w:ind w:hanging="170"/>
              <w:jc w:val="center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68 (64,8)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64,8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0,553–0,732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38 (61,3)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30 (69,8)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 w:val="restart"/>
            <w:vAlign w:val="center"/>
          </w:tcPr>
          <w:p w:rsidR="001D7D40" w:rsidRPr="008E28A6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Б</w:t>
            </w:r>
          </w:p>
        </w:tc>
        <w:tc>
          <w:tcPr>
            <w:tcW w:w="8091" w:type="dxa"/>
            <w:gridSpan w:val="5"/>
          </w:tcPr>
          <w:p w:rsidR="001D7D40" w:rsidRPr="008E28A6" w:rsidRDefault="001D7D40" w:rsidP="00620B64">
            <w:pPr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</w:rPr>
              <w:t>нет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  <w:tr w:rsidR="001D7D40" w:rsidRPr="00754728" w:rsidTr="00620B64">
        <w:trPr>
          <w:jc w:val="center"/>
        </w:trPr>
        <w:tc>
          <w:tcPr>
            <w:tcW w:w="582" w:type="dxa"/>
            <w:vMerge/>
          </w:tcPr>
          <w:p w:rsidR="001D7D40" w:rsidRPr="008E28A6" w:rsidRDefault="001D7D40" w:rsidP="00620B64">
            <w:pPr>
              <w:spacing w:before="240" w:after="360"/>
              <w:ind w:hanging="170"/>
              <w:rPr>
                <w:color w:val="0070C0"/>
                <w:sz w:val="24"/>
              </w:rPr>
            </w:pP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37 (35,2)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35,2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</w:rPr>
            </w:pPr>
            <w:r w:rsidRPr="005204BB">
              <w:rPr>
                <w:color w:val="0070C0"/>
                <w:sz w:val="24"/>
              </w:rPr>
              <w:t>0,268–0,448</w:t>
            </w:r>
          </w:p>
        </w:tc>
        <w:tc>
          <w:tcPr>
            <w:tcW w:w="1618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24 (38,7)</w:t>
            </w:r>
          </w:p>
        </w:tc>
        <w:tc>
          <w:tcPr>
            <w:tcW w:w="1619" w:type="dxa"/>
          </w:tcPr>
          <w:p w:rsidR="001D7D40" w:rsidRDefault="001D7D40" w:rsidP="00620B64">
            <w:pPr>
              <w:jc w:val="center"/>
              <w:rPr>
                <w:color w:val="0070C0"/>
                <w:sz w:val="24"/>
                <w:lang w:val="en-US"/>
              </w:rPr>
            </w:pPr>
            <w:r w:rsidRPr="005204BB">
              <w:rPr>
                <w:color w:val="0070C0"/>
                <w:sz w:val="24"/>
                <w:lang w:val="en-US"/>
              </w:rPr>
              <w:t>13 (30,2)</w:t>
            </w:r>
          </w:p>
        </w:tc>
        <w:tc>
          <w:tcPr>
            <w:tcW w:w="966" w:type="dxa"/>
            <w:vMerge/>
          </w:tcPr>
          <w:p w:rsidR="001D7D40" w:rsidRPr="00754728" w:rsidRDefault="001D7D40" w:rsidP="00620B64">
            <w:pPr>
              <w:jc w:val="center"/>
              <w:rPr>
                <w:sz w:val="24"/>
              </w:rPr>
            </w:pPr>
          </w:p>
        </w:tc>
      </w:tr>
    </w:tbl>
    <w:p w:rsidR="001D7D40" w:rsidRDefault="001D7D40" w:rsidP="001D7D40">
      <w:pPr>
        <w:pStyle w:val="TableName"/>
        <w:ind w:left="0"/>
        <w:jc w:val="left"/>
      </w:pPr>
      <w:r w:rsidRPr="005204BB">
        <w:rPr>
          <w:bCs/>
          <w:i/>
          <w:iCs/>
        </w:rPr>
        <w:t>Примечание</w:t>
      </w:r>
      <w:r>
        <w:t>.</w:t>
      </w:r>
      <w:r w:rsidRPr="00754728">
        <w:t xml:space="preserve"> </w:t>
      </w:r>
      <w:r w:rsidRPr="001C704D">
        <w:t>ИС — исследуемая совокупность, ГС — генеральная совокупность, ДИ — доверительный интервал, К</w:t>
      </w:r>
      <w:proofErr w:type="gramStart"/>
      <w:r w:rsidRPr="001C704D">
        <w:t>1</w:t>
      </w:r>
      <w:proofErr w:type="gramEnd"/>
      <w:r w:rsidRPr="001C704D">
        <w:t xml:space="preserve"> — кластер 1, К2 — кластер 2, АГ — артериальная гипертензия, ХСН — хроническая сердечная недостаточность, ИБС — ишемическая болезнь сердца, ХБП — хроническая болезнь почек, ХОБЛ — хроническая </w:t>
      </w:r>
      <w:proofErr w:type="spellStart"/>
      <w:r w:rsidRPr="001C704D">
        <w:t>обструктивная</w:t>
      </w:r>
      <w:proofErr w:type="spellEnd"/>
      <w:r w:rsidRPr="001C704D">
        <w:t xml:space="preserve"> болезнь лёгких, БА — бронхиальная астма, ЖКТ — желудочно-кишечный тракт.</w:t>
      </w:r>
    </w:p>
    <w:p w:rsidR="001D7D40" w:rsidRDefault="001D7D40" w:rsidP="001D7D40">
      <w:pPr>
        <w:pStyle w:val="TableName"/>
        <w:ind w:left="0"/>
        <w:jc w:val="left"/>
        <w:rPr>
          <w:lang w:val="en-US"/>
        </w:rPr>
      </w:pPr>
      <w:r w:rsidRPr="005204BB">
        <w:rPr>
          <w:bCs/>
          <w:i/>
          <w:lang w:val="en-US"/>
        </w:rPr>
        <w:t>Note.</w:t>
      </w:r>
      <w:r w:rsidRPr="00754728">
        <w:rPr>
          <w:bCs/>
          <w:iCs/>
          <w:lang w:val="en-US"/>
        </w:rPr>
        <w:t xml:space="preserve"> </w:t>
      </w:r>
      <w:r w:rsidRPr="001C704D">
        <w:t>ИС</w:t>
      </w:r>
      <w:r w:rsidRPr="001C704D">
        <w:rPr>
          <w:lang w:val="en-US"/>
        </w:rPr>
        <w:t xml:space="preserve"> — </w:t>
      </w:r>
      <w:r w:rsidRPr="001C704D">
        <w:rPr>
          <w:bCs/>
          <w:iCs/>
          <w:lang w:val="en-US"/>
        </w:rPr>
        <w:t xml:space="preserve">study population, </w:t>
      </w:r>
      <w:r w:rsidRPr="001C704D">
        <w:t>ГС</w:t>
      </w:r>
      <w:r w:rsidRPr="001C704D">
        <w:rPr>
          <w:lang w:val="en-US"/>
        </w:rPr>
        <w:t xml:space="preserve"> — </w:t>
      </w:r>
      <w:r w:rsidRPr="001C704D">
        <w:rPr>
          <w:bCs/>
          <w:iCs/>
          <w:lang w:val="en-US"/>
        </w:rPr>
        <w:t xml:space="preserve">general population, </w:t>
      </w:r>
      <w:r w:rsidRPr="001C704D">
        <w:t>ДИ</w:t>
      </w:r>
      <w:r w:rsidRPr="001C704D">
        <w:rPr>
          <w:lang w:val="en-US"/>
        </w:rPr>
        <w:t xml:space="preserve"> — </w:t>
      </w:r>
      <w:r w:rsidRPr="001C704D">
        <w:rPr>
          <w:bCs/>
          <w:iCs/>
          <w:lang w:val="en-US"/>
        </w:rPr>
        <w:t xml:space="preserve">confidence interval, K1 — cluster 1, K2 — cluster 2, </w:t>
      </w:r>
      <w:r w:rsidRPr="001C704D">
        <w:t>АГ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arterial hypertension, </w:t>
      </w:r>
      <w:r w:rsidRPr="001C704D">
        <w:t>ХСН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heart failure, </w:t>
      </w:r>
      <w:r w:rsidRPr="001C704D">
        <w:t>ИБС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coronary artery disease, </w:t>
      </w:r>
      <w:r w:rsidRPr="001C704D">
        <w:t>ХБП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chronic kidney disease, </w:t>
      </w:r>
      <w:r w:rsidRPr="001C704D">
        <w:t>ХОБЛ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chronic obstructive pulmonary disease, </w:t>
      </w:r>
      <w:r w:rsidRPr="001C704D">
        <w:t>БА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bronchial asthma, </w:t>
      </w:r>
      <w:r w:rsidRPr="001C704D">
        <w:t>ЖКТ</w:t>
      </w:r>
      <w:r w:rsidRPr="001C704D">
        <w:rPr>
          <w:lang w:val="en-US"/>
        </w:rPr>
        <w:t> —</w:t>
      </w:r>
      <w:r w:rsidRPr="001C704D">
        <w:rPr>
          <w:bCs/>
          <w:iCs/>
          <w:lang w:val="en-US"/>
        </w:rPr>
        <w:t xml:space="preserve"> gastrointestinal tract.</w:t>
      </w:r>
    </w:p>
    <w:p w:rsidR="001D7D40" w:rsidRPr="00D44996" w:rsidRDefault="001D7D40" w:rsidP="001D7D40">
      <w:pPr>
        <w:rPr>
          <w:sz w:val="24"/>
          <w:lang w:val="en-US"/>
        </w:rPr>
      </w:pPr>
    </w:p>
    <w:p w:rsidR="008B6AC9" w:rsidRPr="001D7D40" w:rsidRDefault="008B6AC9">
      <w:pPr>
        <w:rPr>
          <w:lang w:val="en-US"/>
        </w:rPr>
      </w:pPr>
    </w:p>
    <w:sectPr w:rsidR="008B6AC9" w:rsidRPr="001D7D40" w:rsidSect="004B05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58" w:rsidRDefault="001B5E58">
      <w:pPr>
        <w:spacing w:line="240" w:lineRule="auto"/>
      </w:pPr>
      <w:r>
        <w:separator/>
      </w:r>
    </w:p>
  </w:endnote>
  <w:endnote w:type="continuationSeparator" w:id="0">
    <w:p w:rsidR="001B5E58" w:rsidRDefault="001B5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18911"/>
      <w:docPartObj>
        <w:docPartGallery w:val="Page Numbers (Bottom of Page)"/>
        <w:docPartUnique/>
      </w:docPartObj>
    </w:sdtPr>
    <w:sdtEndPr/>
    <w:sdtContent>
      <w:p w:rsidR="00573068" w:rsidRDefault="007704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9E">
          <w:rPr>
            <w:noProof/>
          </w:rPr>
          <w:t>3</w:t>
        </w:r>
        <w:r>
          <w:fldChar w:fldCharType="end"/>
        </w:r>
      </w:p>
    </w:sdtContent>
  </w:sdt>
  <w:p w:rsidR="00573068" w:rsidRDefault="001B5E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58" w:rsidRDefault="001B5E58">
      <w:pPr>
        <w:spacing w:line="240" w:lineRule="auto"/>
      </w:pPr>
      <w:r>
        <w:separator/>
      </w:r>
    </w:p>
  </w:footnote>
  <w:footnote w:type="continuationSeparator" w:id="0">
    <w:p w:rsidR="001B5E58" w:rsidRDefault="001B5E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D40"/>
    <w:rsid w:val="001B5E58"/>
    <w:rsid w:val="001D7D40"/>
    <w:rsid w:val="002439C0"/>
    <w:rsid w:val="0027689E"/>
    <w:rsid w:val="007704CF"/>
    <w:rsid w:val="008B6AC9"/>
    <w:rsid w:val="00C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40"/>
    <w:pPr>
      <w:suppressAutoHyphens/>
      <w:spacing w:after="0" w:line="240" w:lineRule="exact"/>
      <w:ind w:left="113" w:right="113"/>
      <w:jc w:val="both"/>
    </w:pPr>
    <w:rPr>
      <w:rFonts w:eastAsia="Times New Roman"/>
      <w:sz w:val="22"/>
      <w:lang w:eastAsia="ar-SA"/>
    </w:rPr>
  </w:style>
  <w:style w:type="paragraph" w:styleId="3">
    <w:name w:val="heading 3"/>
    <w:basedOn w:val="a"/>
    <w:next w:val="5"/>
    <w:link w:val="30"/>
    <w:uiPriority w:val="9"/>
    <w:qFormat/>
    <w:rsid w:val="001D7D40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4"/>
    <w:link w:val="50"/>
    <w:uiPriority w:val="9"/>
    <w:qFormat/>
    <w:rsid w:val="001D7D40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b w:val="0"/>
      <w:bCs w:val="0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7D40"/>
    <w:rPr>
      <w:rFonts w:ascii="Arial" w:eastAsia="Times New Roman" w:hAnsi="Arial"/>
      <w:b/>
      <w:caps/>
      <w:color w:val="000080"/>
      <w:sz w:val="22"/>
      <w:szCs w:val="22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1D7D40"/>
    <w:rPr>
      <w:rFonts w:eastAsia="Times New Roman"/>
      <w:color w:val="000000"/>
      <w:sz w:val="22"/>
      <w:szCs w:val="22"/>
      <w:lang w:eastAsia="ar-SA"/>
    </w:rPr>
  </w:style>
  <w:style w:type="paragraph" w:customStyle="1" w:styleId="TableName">
    <w:name w:val="Table_Name"/>
    <w:basedOn w:val="a"/>
    <w:rsid w:val="001D7D40"/>
  </w:style>
  <w:style w:type="paragraph" w:styleId="a3">
    <w:name w:val="footer"/>
    <w:basedOn w:val="a"/>
    <w:link w:val="a4"/>
    <w:uiPriority w:val="99"/>
    <w:unhideWhenUsed/>
    <w:rsid w:val="001D7D4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7D40"/>
    <w:rPr>
      <w:rFonts w:eastAsia="Times New Roman"/>
      <w:sz w:val="22"/>
      <w:lang w:eastAsia="ar-SA"/>
    </w:rPr>
  </w:style>
  <w:style w:type="table" w:styleId="a5">
    <w:name w:val="Table Grid"/>
    <w:basedOn w:val="a1"/>
    <w:rsid w:val="001D7D4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1D7D4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2024-08-29T06:41:00Z</dcterms:created>
  <dcterms:modified xsi:type="dcterms:W3CDTF">2025-02-17T07:55:00Z</dcterms:modified>
</cp:coreProperties>
</file>